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12FA24A0" w14:textId="55F2321A" w:rsidR="00B476CE" w:rsidRPr="00B476CE" w:rsidRDefault="00B476CE" w:rsidP="00B476CE">
      <w:pPr>
        <w:jc w:val="center"/>
        <w:rPr>
          <w:rFonts w:ascii="Book Antiqua" w:hAnsi="Book Antiqua" w:cs="Arial"/>
          <w:b/>
          <w:bCs/>
          <w:color w:val="365F91" w:themeColor="accent1" w:themeShade="BF"/>
          <w:sz w:val="22"/>
          <w:szCs w:val="22"/>
        </w:rPr>
      </w:pPr>
      <w:r w:rsidRPr="00B476CE">
        <w:rPr>
          <w:rFonts w:ascii="Book Antiqua" w:hAnsi="Book Antiqua" w:cs="Arial"/>
          <w:b/>
          <w:bCs/>
          <w:color w:val="365F91" w:themeColor="accent1" w:themeShade="BF"/>
          <w:sz w:val="22"/>
          <w:szCs w:val="22"/>
        </w:rPr>
        <w:t>Appointment of Independent Engineer for “</w:t>
      </w:r>
      <w:r w:rsidR="001A20C1" w:rsidRPr="00A25A83">
        <w:rPr>
          <w:rFonts w:ascii="Book Antiqua" w:hAnsi="Book Antiqua" w:cs="Arial"/>
          <w:b/>
          <w:bCs/>
          <w:color w:val="365F91" w:themeColor="accent1" w:themeShade="BF"/>
          <w:sz w:val="22"/>
          <w:szCs w:val="22"/>
        </w:rPr>
        <w:t xml:space="preserve">Augmentation of transformation capacity at Jam </w:t>
      </w:r>
      <w:proofErr w:type="spellStart"/>
      <w:r w:rsidR="001A20C1" w:rsidRPr="00A25A83">
        <w:rPr>
          <w:rFonts w:ascii="Book Antiqua" w:hAnsi="Book Antiqua" w:cs="Arial"/>
          <w:b/>
          <w:bCs/>
          <w:color w:val="365F91" w:themeColor="accent1" w:themeShade="BF"/>
          <w:sz w:val="22"/>
          <w:szCs w:val="22"/>
        </w:rPr>
        <w:t>Khambhaliya</w:t>
      </w:r>
      <w:proofErr w:type="spellEnd"/>
      <w:r w:rsidR="001A20C1" w:rsidRPr="00A25A83">
        <w:rPr>
          <w:rFonts w:ascii="Book Antiqua" w:hAnsi="Book Antiqua" w:cs="Arial"/>
          <w:b/>
          <w:bCs/>
          <w:color w:val="365F91" w:themeColor="accent1" w:themeShade="BF"/>
          <w:sz w:val="22"/>
          <w:szCs w:val="22"/>
        </w:rPr>
        <w:t xml:space="preserve"> PS (GIS)</w:t>
      </w:r>
      <w:r w:rsidRPr="00B476CE">
        <w:rPr>
          <w:rFonts w:ascii="Book Antiqua" w:hAnsi="Book Antiqua" w:cs="Arial"/>
          <w:b/>
          <w:bCs/>
          <w:color w:val="365F91" w:themeColor="accent1" w:themeShade="BF"/>
          <w:sz w:val="22"/>
          <w:szCs w:val="22"/>
        </w:rPr>
        <w:t>”</w:t>
      </w:r>
    </w:p>
    <w:p w14:paraId="215BDA67" w14:textId="77777777" w:rsidR="00B476CE" w:rsidRPr="00B476CE" w:rsidRDefault="00B476CE" w:rsidP="00B476CE">
      <w:pPr>
        <w:jc w:val="center"/>
        <w:rPr>
          <w:rFonts w:ascii="Book Antiqua" w:hAnsi="Book Antiqua" w:cs="Arial"/>
          <w:b/>
          <w:bCs/>
          <w:color w:val="365F91" w:themeColor="accent1" w:themeShade="BF"/>
          <w:sz w:val="22"/>
          <w:szCs w:val="22"/>
        </w:rPr>
      </w:pPr>
    </w:p>
    <w:p w14:paraId="08FD061A" w14:textId="1F4C1CA4" w:rsidR="003646BE" w:rsidRPr="00182149" w:rsidRDefault="00B476CE" w:rsidP="00B476CE">
      <w:pPr>
        <w:jc w:val="center"/>
        <w:rPr>
          <w:rFonts w:ascii="Book Antiqua" w:hAnsi="Book Antiqua" w:cs="Arial"/>
          <w:b/>
          <w:bCs/>
          <w:sz w:val="22"/>
          <w:szCs w:val="22"/>
        </w:rPr>
      </w:pPr>
      <w:r w:rsidRPr="00B476CE">
        <w:rPr>
          <w:rFonts w:ascii="Book Antiqua" w:hAnsi="Book Antiqua" w:cs="Arial"/>
          <w:b/>
          <w:bCs/>
          <w:color w:val="365F91" w:themeColor="accent1" w:themeShade="BF"/>
          <w:sz w:val="22"/>
          <w:szCs w:val="22"/>
        </w:rPr>
        <w:t xml:space="preserve">(Spec. No. </w:t>
      </w:r>
      <w:r w:rsidR="00792257">
        <w:rPr>
          <w:rFonts w:ascii="Book Antiqua" w:hAnsi="Book Antiqua" w:cs="Arial"/>
          <w:b/>
          <w:bCs/>
          <w:color w:val="365F91" w:themeColor="accent1" w:themeShade="BF"/>
          <w:sz w:val="22"/>
          <w:szCs w:val="22"/>
        </w:rPr>
        <w:t>CTUIL/IE/2024-25/56</w:t>
      </w:r>
      <w:r w:rsidRPr="00B476CE">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w:t>
      </w:r>
      <w:r w:rsidR="00BD6B1F" w:rsidRPr="00BD6B1F">
        <w:rPr>
          <w:rFonts w:ascii="Book Antiqua" w:hAnsi="Book Antiqua"/>
          <w:sz w:val="22"/>
          <w:szCs w:val="22"/>
        </w:rPr>
        <w:lastRenderedPageBreak/>
        <w:t xml:space="preserve">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w:t>
      </w:r>
      <w:r w:rsidR="000848AA" w:rsidRPr="00FC0343">
        <w:rPr>
          <w:rFonts w:ascii="Book Antiqua" w:hAnsi="Book Antiqua" w:cs="Arial"/>
          <w:sz w:val="22"/>
          <w:szCs w:val="22"/>
        </w:rPr>
        <w:lastRenderedPageBreak/>
        <w:t xml:space="preserve">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(ii</w:t>
      </w:r>
      <w:proofErr w:type="gramStart"/>
      <w:r w:rsidR="00604079" w:rsidRPr="00FC0343">
        <w:rPr>
          <w:rFonts w:ascii="Book Antiqua" w:hAnsi="Book Antiqua" w:cs="Arial"/>
          <w:spacing w:val="-2"/>
          <w:sz w:val="22"/>
          <w:szCs w:val="22"/>
        </w:rPr>
        <w:t xml:space="preserve">) </w:t>
      </w:r>
      <w:r w:rsidR="00604079" w:rsidRPr="00FC0343">
        <w:rPr>
          <w:rFonts w:ascii="Book Antiqua" w:hAnsi="Book Antiqua" w:cs="Arial"/>
          <w:spacing w:val="-2"/>
          <w:sz w:val="22"/>
          <w:szCs w:val="22"/>
        </w:rPr>
        <w:tab/>
        <w:t>to</w:t>
      </w:r>
      <w:proofErr w:type="gramEnd"/>
      <w:r w:rsidR="00604079" w:rsidRPr="00FC0343">
        <w:rPr>
          <w:rFonts w:ascii="Book Antiqua" w:hAnsi="Book Antiqua" w:cs="Arial"/>
          <w:spacing w:val="-2"/>
          <w:sz w:val="22"/>
          <w:szCs w:val="22"/>
        </w:rPr>
        <w:t xml:space="preserve">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D42D663"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9A20F4">
        <w:rPr>
          <w:rFonts w:ascii="Book Antiqua" w:hAnsi="Book Antiqua"/>
          <w:b/>
          <w:bCs/>
          <w:lang w:val="en-GB"/>
        </w:rPr>
        <w:t>Dwaipayan Sen</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9A20F4">
        <w:rPr>
          <w:rFonts w:ascii="Book Antiqua" w:hAnsi="Book Antiqua"/>
          <w:b/>
          <w:bCs/>
          <w:lang w:val="en-GB"/>
        </w:rPr>
        <w:t>Rahul</w:t>
      </w:r>
      <w:r w:rsidR="00B325FF">
        <w:rPr>
          <w:rFonts w:ascii="Book Antiqua" w:hAnsi="Book Antiqua"/>
          <w:b/>
          <w:bCs/>
          <w:lang w:val="en-GB"/>
        </w:rPr>
        <w:t xml:space="preserve"> </w:t>
      </w:r>
      <w:r w:rsidR="008B13C5" w:rsidRPr="008B13C5">
        <w:rPr>
          <w:rFonts w:ascii="Book Antiqua" w:hAnsi="Book Antiqua"/>
          <w:b/>
          <w:bCs/>
          <w:lang w:val="en-GB"/>
        </w:rPr>
        <w:t>(</w:t>
      </w:r>
      <w:r w:rsidR="009A20F4">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D4E92EA"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9A20F4">
        <w:rPr>
          <w:rFonts w:ascii="Book Antiqua" w:hAnsi="Book Antiqua"/>
          <w:b/>
          <w:bCs/>
          <w:lang w:val="en-GB"/>
        </w:rPr>
        <w:t>9205287422/</w:t>
      </w:r>
      <w:r w:rsidR="00732146" w:rsidRPr="00E71A30">
        <w:rPr>
          <w:rFonts w:ascii="Book Antiqua" w:hAnsi="Book Antiqua"/>
          <w:b/>
          <w:bCs/>
          <w:lang w:val="en-GB"/>
        </w:rPr>
        <w:t>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 xml:space="preserve">documentary evidence with regard to registration with designated Authority of </w:t>
      </w:r>
      <w:proofErr w:type="spellStart"/>
      <w:r w:rsidR="004D6EE2" w:rsidRPr="003530D8">
        <w:rPr>
          <w:rStyle w:val="Strong"/>
          <w:rFonts w:ascii="Book Antiqua" w:hAnsi="Book Antiqua" w:cs="Arial"/>
          <w:b w:val="0"/>
          <w:bCs w:val="0"/>
        </w:rPr>
        <w:t>GoI</w:t>
      </w:r>
      <w:proofErr w:type="spellEnd"/>
      <w:r w:rsidR="004D6EE2" w:rsidRPr="003530D8">
        <w:rPr>
          <w:rStyle w:val="Strong"/>
          <w:rFonts w:ascii="Book Antiqua" w:hAnsi="Book Antiqua" w:cs="Arial"/>
          <w:b w:val="0"/>
          <w:bCs w:val="0"/>
        </w:rPr>
        <w:t xml:space="preserve">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 xml:space="preserve">required to be submitted by the Consultant as per the provisions of the </w:t>
      </w:r>
      <w:proofErr w:type="spellStart"/>
      <w:r w:rsidRPr="003530D8">
        <w:rPr>
          <w:rFonts w:ascii="Book Antiqua" w:hAnsi="Book Antiqua" w:cs="Arial"/>
          <w:sz w:val="22"/>
          <w:szCs w:val="22"/>
        </w:rPr>
        <w:t>R</w:t>
      </w:r>
      <w:r w:rsidR="000B6D04" w:rsidRPr="003530D8">
        <w:rPr>
          <w:rFonts w:ascii="Book Antiqua" w:hAnsi="Book Antiqua" w:cs="Arial"/>
          <w:sz w:val="22"/>
          <w:szCs w:val="22"/>
        </w:rPr>
        <w:t>f</w:t>
      </w:r>
      <w:r w:rsidRPr="003530D8">
        <w:rPr>
          <w:rFonts w:ascii="Book Antiqua" w:hAnsi="Book Antiqua" w:cs="Arial"/>
          <w:sz w:val="22"/>
          <w:szCs w:val="22"/>
        </w:rPr>
        <w:t>P</w:t>
      </w:r>
      <w:proofErr w:type="spellEnd"/>
      <w:r w:rsidRPr="003530D8">
        <w:rPr>
          <w:rFonts w:ascii="Book Antiqua" w:hAnsi="Book Antiqua" w:cs="Arial"/>
          <w:sz w:val="22"/>
          <w:szCs w:val="22"/>
        </w:rPr>
        <w:t xml:space="preserve">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w:t>
      </w:r>
      <w:proofErr w:type="gramStart"/>
      <w:r w:rsidRPr="003530D8">
        <w:rPr>
          <w:rFonts w:ascii="Book Antiqua" w:hAnsi="Book Antiqua" w:cs="Arial"/>
          <w:sz w:val="22"/>
          <w:szCs w:val="22"/>
        </w:rPr>
        <w:t>sole</w:t>
      </w:r>
      <w:proofErr w:type="gramEnd"/>
      <w:r w:rsidRPr="003530D8">
        <w:rPr>
          <w:rFonts w:ascii="Book Antiqua" w:hAnsi="Book Antiqua" w:cs="Arial"/>
          <w:sz w:val="22"/>
          <w:szCs w:val="22"/>
        </w:rPr>
        <w:t xml:space="preserv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w:t>
      </w:r>
      <w:r w:rsidR="0023571F" w:rsidRPr="00FC0343">
        <w:rPr>
          <w:rFonts w:ascii="Book Antiqua" w:hAnsi="Book Antiqua" w:cs="Arial"/>
          <w:sz w:val="22"/>
          <w:szCs w:val="22"/>
        </w:rPr>
        <w:lastRenderedPageBreak/>
        <w:t xml:space="preserve">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w:t>
      </w:r>
      <w:proofErr w:type="gramStart"/>
      <w:r w:rsidR="0023571F" w:rsidRPr="00CE3820">
        <w:rPr>
          <w:rFonts w:ascii="Book Antiqua" w:hAnsi="Book Antiqua" w:cs="Arial"/>
          <w:sz w:val="22"/>
          <w:szCs w:val="22"/>
        </w:rPr>
        <w:t>Bank</w:t>
      </w:r>
      <w:proofErr w:type="gramEnd"/>
      <w:r w:rsidR="0023571F" w:rsidRPr="00CE3820">
        <w:rPr>
          <w:rFonts w:ascii="Book Antiqua" w:hAnsi="Book Antiqua" w:cs="Arial"/>
          <w:sz w:val="22"/>
          <w:szCs w:val="22"/>
        </w:rPr>
        <w:t xml:space="preserve">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lastRenderedPageBreak/>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w:t>
      </w:r>
      <w:r w:rsidR="00CE3820" w:rsidRPr="00994B1B">
        <w:rPr>
          <w:rFonts w:ascii="Book Antiqua" w:hAnsi="Book Antiqua" w:cs="Arial"/>
          <w:sz w:val="22"/>
          <w:szCs w:val="22"/>
        </w:rPr>
        <w:lastRenderedPageBreak/>
        <w:t>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proofErr w:type="gramStart"/>
      <w:r w:rsidR="00CE3820" w:rsidRPr="00994B1B">
        <w:rPr>
          <w:rFonts w:ascii="Book Antiqua" w:hAnsi="Book Antiqua" w:cs="Arial"/>
          <w:sz w:val="22"/>
          <w:szCs w:val="22"/>
        </w:rPr>
        <w:t>hereinafter</w:t>
      </w:r>
      <w:proofErr w:type="gramEnd"/>
      <w:r w:rsidR="00CE3820" w:rsidRPr="00994B1B">
        <w:rPr>
          <w:rFonts w:ascii="Book Antiqua" w:hAnsi="Book Antiqua" w:cs="Arial"/>
          <w:sz w:val="22"/>
          <w:szCs w:val="22"/>
        </w:rPr>
        <w:t xml:space="preserve">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altering or concealing of evidence material to the investigation or making false statements to investigators </w:t>
      </w:r>
      <w:proofErr w:type="gramStart"/>
      <w:r w:rsidRPr="00992E97">
        <w:rPr>
          <w:rFonts w:ascii="Book Antiqua" w:hAnsi="Book Antiqua" w:cs="Arial"/>
          <w:sz w:val="22"/>
          <w:szCs w:val="22"/>
        </w:rPr>
        <w:t>in order to</w:t>
      </w:r>
      <w:proofErr w:type="gramEnd"/>
      <w:r w:rsidRPr="00992E97">
        <w:rPr>
          <w:rFonts w:ascii="Book Antiqua" w:hAnsi="Book Antiqua" w:cs="Arial"/>
          <w:sz w:val="22"/>
          <w:szCs w:val="22"/>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(b) acts intended to materially impede the exercise of </w:t>
      </w:r>
      <w:proofErr w:type="gramStart"/>
      <w:r w:rsidRPr="00992E97">
        <w:rPr>
          <w:rFonts w:ascii="Book Antiqua" w:hAnsi="Book Antiqua" w:cs="Arial"/>
          <w:sz w:val="22"/>
          <w:szCs w:val="22"/>
        </w:rPr>
        <w:t>the contractual</w:t>
      </w:r>
      <w:proofErr w:type="gramEnd"/>
      <w:r w:rsidRPr="00992E97">
        <w:rPr>
          <w:rFonts w:ascii="Book Antiqua" w:hAnsi="Book Antiqua" w:cs="Arial"/>
          <w:sz w:val="22"/>
          <w:szCs w:val="22"/>
        </w:rPr>
        <w:t xml:space="preserve">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lastRenderedPageBreak/>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w:t>
      </w:r>
      <w:r>
        <w:rPr>
          <w:rFonts w:ascii="Book Antiqua" w:hAnsi="Book Antiqua" w:cs="Arial"/>
          <w:sz w:val="22"/>
          <w:szCs w:val="22"/>
        </w:rPr>
        <w:lastRenderedPageBreak/>
        <w:t xml:space="preserve">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 xml:space="preserve">In the event the Engineer In Charge (EIC)fails to notify his decision as aforesaid within thirty (30) days, the Contractor, if he intends to go for Arbitration/Conciliation, shall notify his intention to the Engineer In Charge (EIC)within 30 days of expiry of the first mentioned </w:t>
      </w:r>
      <w:r w:rsidRPr="007C0FE9">
        <w:rPr>
          <w:rFonts w:ascii="Book Antiqua" w:hAnsi="Book Antiqua" w:cs="Arial"/>
          <w:sz w:val="22"/>
          <w:szCs w:val="22"/>
        </w:rPr>
        <w:lastRenderedPageBreak/>
        <w:t>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w:t>
      </w:r>
      <w:proofErr w:type="gramStart"/>
      <w:r w:rsidRPr="007C0FE9">
        <w:rPr>
          <w:rFonts w:ascii="Book Antiqua" w:hAnsi="Book Antiqua" w:cs="Arial"/>
          <w:sz w:val="22"/>
          <w:szCs w:val="22"/>
        </w:rPr>
        <w:t>CTUIL</w:t>
      </w:r>
      <w:proofErr w:type="gramEnd"/>
      <w:r w:rsidRPr="007C0FE9">
        <w:rPr>
          <w:rFonts w:ascii="Book Antiqua" w:hAnsi="Book Antiqua" w:cs="Arial"/>
          <w:sz w:val="22"/>
          <w:szCs w:val="22"/>
        </w:rPr>
        <w:t xml:space="preserve">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w:t>
      </w:r>
      <w:r w:rsidRPr="007C0FE9">
        <w:rPr>
          <w:rFonts w:ascii="Book Antiqua" w:hAnsi="Book Antiqua" w:cs="Arial"/>
          <w:sz w:val="22"/>
          <w:szCs w:val="22"/>
        </w:rPr>
        <w:lastRenderedPageBreak/>
        <w:t>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Pr="007C0FE9">
        <w:rPr>
          <w:rFonts w:ascii="Book Antiqua" w:hAnsi="Book Antiqua" w:cs="Arial"/>
          <w:sz w:val="22"/>
          <w:szCs w:val="22"/>
        </w:rPr>
        <w:lastRenderedPageBreak/>
        <w:t>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sittings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lastRenderedPageBreak/>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lastRenderedPageBreak/>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lastRenderedPageBreak/>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w:t>
      </w:r>
      <w:proofErr w:type="gramStart"/>
      <w:r w:rsidR="00D221C9" w:rsidRPr="00713EDB">
        <w:rPr>
          <w:rFonts w:ascii="Book Antiqua" w:hAnsi="Book Antiqua" w:cs="Arial"/>
          <w:sz w:val="22"/>
          <w:szCs w:val="22"/>
        </w:rPr>
        <w:t>have</w:t>
      </w:r>
      <w:proofErr w:type="gramEnd"/>
      <w:r w:rsidR="00D221C9" w:rsidRPr="00713EDB">
        <w:rPr>
          <w:rFonts w:ascii="Book Antiqua" w:hAnsi="Book Antiqua" w:cs="Arial"/>
          <w:sz w:val="22"/>
          <w:szCs w:val="22"/>
        </w:rPr>
        <w:t xml:space="preser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3A64F" w14:textId="77777777" w:rsidR="00BE6811" w:rsidRDefault="00BE6811" w:rsidP="003E7F85">
      <w:r>
        <w:separator/>
      </w:r>
    </w:p>
  </w:endnote>
  <w:endnote w:type="continuationSeparator" w:id="0">
    <w:p w14:paraId="2001128A" w14:textId="77777777" w:rsidR="00BE6811" w:rsidRDefault="00BE6811" w:rsidP="003E7F85">
      <w:r>
        <w:continuationSeparator/>
      </w:r>
    </w:p>
  </w:endnote>
  <w:endnote w:type="continuationNotice" w:id="1">
    <w:p w14:paraId="43B1B282" w14:textId="77777777" w:rsidR="00BE6811" w:rsidRDefault="00BE6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744CA" w14:textId="77777777" w:rsidR="00BE6811" w:rsidRDefault="00BE6811" w:rsidP="003E7F85">
      <w:r>
        <w:separator/>
      </w:r>
    </w:p>
  </w:footnote>
  <w:footnote w:type="continuationSeparator" w:id="0">
    <w:p w14:paraId="1BF54AD3" w14:textId="77777777" w:rsidR="00BE6811" w:rsidRDefault="00BE6811" w:rsidP="003E7F85">
      <w:r>
        <w:continuationSeparator/>
      </w:r>
    </w:p>
  </w:footnote>
  <w:footnote w:type="continuationNotice" w:id="1">
    <w:p w14:paraId="53E355DE" w14:textId="77777777" w:rsidR="00BE6811" w:rsidRDefault="00BE68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5E0E"/>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94F27"/>
    <w:rsid w:val="000A252D"/>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0C1"/>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06EC8"/>
    <w:rsid w:val="002116A3"/>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595"/>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3AB"/>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668"/>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1C2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0CED"/>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3CA"/>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25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57E1D"/>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33A"/>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20F4"/>
    <w:rsid w:val="009A410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1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343"/>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476C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051"/>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6811"/>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97F4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D71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5977</TotalTime>
  <Pages>43</Pages>
  <Words>15716</Words>
  <Characters>89586</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306</cp:revision>
  <cp:lastPrinted>2022-12-28T11:59:00Z</cp:lastPrinted>
  <dcterms:created xsi:type="dcterms:W3CDTF">2022-07-11T07:01:00Z</dcterms:created>
  <dcterms:modified xsi:type="dcterms:W3CDTF">2024-11-06T07:04:00Z</dcterms:modified>
  <cp:contentStatus/>
</cp:coreProperties>
</file>